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E72" w:rsidRDefault="00744E72" w:rsidP="00744E72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382905</wp:posOffset>
            </wp:positionV>
            <wp:extent cx="9458960" cy="4650740"/>
            <wp:effectExtent l="19050" t="0" r="27940" b="0"/>
            <wp:wrapSquare wrapText="bothSides"/>
            <wp:docPr id="20" name="Graphique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>
        <w:rPr>
          <w:rFonts w:asciiTheme="majorBidi" w:hAnsiTheme="majorBidi" w:cstheme="majorBidi"/>
          <w:sz w:val="24"/>
          <w:szCs w:val="24"/>
        </w:rPr>
        <w:t xml:space="preserve">La figure </w:t>
      </w:r>
      <w:r w:rsidRPr="00606E78">
        <w:rPr>
          <w:rFonts w:asciiTheme="majorBidi" w:hAnsiTheme="majorBidi" w:cstheme="majorBidi"/>
          <w:sz w:val="24"/>
          <w:szCs w:val="24"/>
        </w:rPr>
        <w:t>III.17</w:t>
      </w:r>
      <w:r>
        <w:rPr>
          <w:rFonts w:asciiTheme="majorBidi" w:hAnsiTheme="majorBidi" w:cstheme="majorBidi"/>
          <w:sz w:val="24"/>
          <w:szCs w:val="24"/>
        </w:rPr>
        <w:t xml:space="preserve"> illustre les courbes de variation de la masse volumique sèche en fonction de la teneur en eau pour différents teneurs en ciment. </w:t>
      </w:r>
    </w:p>
    <w:p w:rsidR="00744E72" w:rsidRPr="00744E72" w:rsidRDefault="00744E72" w:rsidP="00744E72">
      <w:pPr>
        <w:rPr>
          <w:rFonts w:asciiTheme="majorBidi" w:hAnsiTheme="majorBidi" w:cstheme="majorBidi"/>
          <w:sz w:val="24"/>
          <w:szCs w:val="24"/>
        </w:rPr>
      </w:pPr>
    </w:p>
    <w:p w:rsidR="00744E72" w:rsidRPr="00744E72" w:rsidRDefault="00744E72" w:rsidP="00744E72">
      <w:pPr>
        <w:tabs>
          <w:tab w:val="left" w:pos="0"/>
          <w:tab w:val="left" w:pos="222"/>
        </w:tabs>
        <w:spacing w:after="0" w:line="360" w:lineRule="auto"/>
        <w:jc w:val="center"/>
        <w:outlineLvl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sz w:val="24"/>
          <w:szCs w:val="24"/>
        </w:rPr>
        <w:tab/>
      </w:r>
      <w:r w:rsidRPr="00606E78">
        <w:rPr>
          <w:rFonts w:asciiTheme="majorBidi" w:hAnsiTheme="majorBidi" w:cstheme="majorBidi"/>
          <w:b/>
          <w:bCs/>
        </w:rPr>
        <w:t>Figure III .17: Influence de ciment la  sur les caractéristiques de compactage.</w:t>
      </w:r>
    </w:p>
    <w:p w:rsidR="00000000" w:rsidRPr="00744E72" w:rsidRDefault="00744E72" w:rsidP="00744E72">
      <w:pPr>
        <w:rPr>
          <w:rFonts w:asciiTheme="majorBidi" w:hAnsiTheme="majorBidi" w:cstheme="majorBidi"/>
          <w:sz w:val="24"/>
          <w:szCs w:val="24"/>
        </w:rPr>
      </w:pPr>
    </w:p>
    <w:sectPr w:rsidR="00000000" w:rsidRPr="00744E72" w:rsidSect="00744E72">
      <w:pgSz w:w="16838" w:h="11906" w:orient="landscape"/>
      <w:pgMar w:top="1418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44E72"/>
    <w:rsid w:val="00744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44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44E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BA7\Desktop\proctor%20tr&#233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fr-FR"/>
  <c:chart>
    <c:plotArea>
      <c:layout>
        <c:manualLayout>
          <c:layoutTarget val="inner"/>
          <c:xMode val="edge"/>
          <c:yMode val="edge"/>
          <c:x val="8.0642558463942471E-2"/>
          <c:y val="3.042827294593731E-2"/>
          <c:w val="0.81170360273357078"/>
          <c:h val="0.8431213182297026"/>
        </c:manualLayout>
      </c:layout>
      <c:scatterChart>
        <c:scatterStyle val="lineMarker"/>
        <c:ser>
          <c:idx val="0"/>
          <c:order val="0"/>
          <c:tx>
            <c:v>2%</c:v>
          </c:tx>
          <c:spPr>
            <a:ln w="28575">
              <a:noFill/>
            </a:ln>
          </c:spPr>
          <c:trendline>
            <c:spPr>
              <a:ln w="19050" cap="flat" cmpd="sng" algn="ctr">
                <a:solidFill>
                  <a:schemeClr val="accent1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trendlineType val="poly"/>
            <c:order val="2"/>
          </c:trendline>
          <c:xVal>
            <c:numRef>
              <c:f>Feuil2!$D$3:$H$3</c:f>
              <c:numCache>
                <c:formatCode>General</c:formatCode>
                <c:ptCount val="5"/>
                <c:pt idx="0">
                  <c:v>12.892903546844364</c:v>
                </c:pt>
                <c:pt idx="1">
                  <c:v>14.841179034542868</c:v>
                </c:pt>
                <c:pt idx="2">
                  <c:v>15.57600192977014</c:v>
                </c:pt>
                <c:pt idx="3">
                  <c:v>17.424710336387104</c:v>
                </c:pt>
                <c:pt idx="4">
                  <c:v>21.015911109725888</c:v>
                </c:pt>
              </c:numCache>
            </c:numRef>
          </c:xVal>
          <c:yVal>
            <c:numRef>
              <c:f>Feuil2!$D$2:$H$2</c:f>
              <c:numCache>
                <c:formatCode>General</c:formatCode>
                <c:ptCount val="5"/>
                <c:pt idx="0">
                  <c:v>1.412138749921326</c:v>
                </c:pt>
                <c:pt idx="1">
                  <c:v>1.5032552153115899</c:v>
                </c:pt>
                <c:pt idx="2">
                  <c:v>1.5191375222730561</c:v>
                </c:pt>
                <c:pt idx="3">
                  <c:v>1.563649432050227</c:v>
                </c:pt>
                <c:pt idx="4">
                  <c:v>1.5329479449403585</c:v>
                </c:pt>
              </c:numCache>
            </c:numRef>
          </c:yVal>
        </c:ser>
        <c:ser>
          <c:idx val="1"/>
          <c:order val="1"/>
          <c:tx>
            <c:v>4%</c:v>
          </c:tx>
          <c:spPr>
            <a:ln w="28575">
              <a:noFill/>
            </a:ln>
          </c:spPr>
          <c:dPt>
            <c:idx val="0"/>
            <c:spPr>
              <a:ln w="28575">
                <a:solidFill>
                  <a:schemeClr val="bg1"/>
                </a:solidFill>
              </a:ln>
            </c:spPr>
          </c:dPt>
          <c:trendline>
            <c:spPr>
              <a:ln w="19050" cap="flat" cmpd="sng" algn="ctr">
                <a:solidFill>
                  <a:schemeClr val="accent2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trendlineType val="poly"/>
            <c:order val="2"/>
          </c:trendline>
          <c:xVal>
            <c:numRef>
              <c:f>Feuil2!$D$7:$H$7</c:f>
              <c:numCache>
                <c:formatCode>General</c:formatCode>
                <c:ptCount val="5"/>
                <c:pt idx="0">
                  <c:v>17.670636355624929</c:v>
                </c:pt>
                <c:pt idx="1">
                  <c:v>18.949331682250889</c:v>
                </c:pt>
                <c:pt idx="2">
                  <c:v>20.79109124481975</c:v>
                </c:pt>
                <c:pt idx="3">
                  <c:v>22.895547334942933</c:v>
                </c:pt>
                <c:pt idx="4">
                  <c:v>24.74236355620992</c:v>
                </c:pt>
              </c:numCache>
            </c:numRef>
          </c:xVal>
          <c:yVal>
            <c:numRef>
              <c:f>Feuil2!$D$6:$H$6</c:f>
              <c:numCache>
                <c:formatCode>General</c:formatCode>
                <c:ptCount val="5"/>
                <c:pt idx="0">
                  <c:v>1.4699951778580518</c:v>
                </c:pt>
                <c:pt idx="1">
                  <c:v>1.514070332550782</c:v>
                </c:pt>
                <c:pt idx="2">
                  <c:v>1.563649432050227</c:v>
                </c:pt>
                <c:pt idx="3">
                  <c:v>1.5173618855080198</c:v>
                </c:pt>
                <c:pt idx="4">
                  <c:v>1.4907277646970651</c:v>
                </c:pt>
              </c:numCache>
            </c:numRef>
          </c:yVal>
        </c:ser>
        <c:ser>
          <c:idx val="2"/>
          <c:order val="2"/>
          <c:tx>
            <c:v>6%</c:v>
          </c:tx>
          <c:spPr>
            <a:ln w="28575">
              <a:noFill/>
            </a:ln>
          </c:spPr>
          <c:trendline>
            <c:spPr>
              <a:ln w="19050" cap="flat" cmpd="sng" algn="ctr">
                <a:solidFill>
                  <a:schemeClr val="accent3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trendlineType val="poly"/>
            <c:order val="2"/>
          </c:trendline>
          <c:xVal>
            <c:numRef>
              <c:f>Feuil2!$D$11:$H$11</c:f>
              <c:numCache>
                <c:formatCode>General</c:formatCode>
                <c:ptCount val="5"/>
                <c:pt idx="0">
                  <c:v>14.86797723259151</c:v>
                </c:pt>
                <c:pt idx="1">
                  <c:v>17.015856916862617</c:v>
                </c:pt>
                <c:pt idx="2">
                  <c:v>19.4141286030017</c:v>
                </c:pt>
                <c:pt idx="3">
                  <c:v>21.344524454195309</c:v>
                </c:pt>
                <c:pt idx="4">
                  <c:v>23.548817837083821</c:v>
                </c:pt>
              </c:numCache>
            </c:numRef>
          </c:xVal>
          <c:yVal>
            <c:numRef>
              <c:f>Feuil2!$D$10:$H$10</c:f>
              <c:numCache>
                <c:formatCode>General</c:formatCode>
                <c:ptCount val="5"/>
                <c:pt idx="0">
                  <c:v>1.5066931920265658</c:v>
                </c:pt>
                <c:pt idx="1">
                  <c:v>1.5280208989309398</c:v>
                </c:pt>
                <c:pt idx="2">
                  <c:v>1.5641770748451149</c:v>
                </c:pt>
                <c:pt idx="3">
                  <c:v>1.5373690931244317</c:v>
                </c:pt>
                <c:pt idx="4">
                  <c:v>1.5083077901817641</c:v>
                </c:pt>
              </c:numCache>
            </c:numRef>
          </c:yVal>
        </c:ser>
        <c:ser>
          <c:idx val="3"/>
          <c:order val="3"/>
          <c:tx>
            <c:v>8%</c:v>
          </c:tx>
          <c:spPr>
            <a:ln w="28575">
              <a:noFill/>
            </a:ln>
          </c:spPr>
          <c:trendline>
            <c:spPr>
              <a:ln w="19050" cap="flat" cmpd="sng" algn="ctr">
                <a:solidFill>
                  <a:schemeClr val="accent4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trendlineType val="poly"/>
            <c:order val="2"/>
          </c:trendline>
          <c:xVal>
            <c:numRef>
              <c:f>Feuil2!$D$15:$H$15</c:f>
              <c:numCache>
                <c:formatCode>General</c:formatCode>
                <c:ptCount val="5"/>
                <c:pt idx="0">
                  <c:v>16.861898803462733</c:v>
                </c:pt>
                <c:pt idx="1">
                  <c:v>17.926669839891442</c:v>
                </c:pt>
                <c:pt idx="2">
                  <c:v>19.123374388173481</c:v>
                </c:pt>
                <c:pt idx="3">
                  <c:v>21.998333903499667</c:v>
                </c:pt>
                <c:pt idx="4">
                  <c:v>22.734692292393067</c:v>
                </c:pt>
              </c:numCache>
            </c:numRef>
          </c:xVal>
          <c:yVal>
            <c:numRef>
              <c:f>Feuil2!$D$14:$H$14</c:f>
              <c:numCache>
                <c:formatCode>General</c:formatCode>
                <c:ptCount val="5"/>
                <c:pt idx="0">
                  <c:v>1.4740825934255541</c:v>
                </c:pt>
                <c:pt idx="1">
                  <c:v>1.4940766778413599</c:v>
                </c:pt>
                <c:pt idx="2">
                  <c:v>1.5641770748451149</c:v>
                </c:pt>
                <c:pt idx="3">
                  <c:v>1.4990260067364398</c:v>
                </c:pt>
                <c:pt idx="4">
                  <c:v>1.4356340362833138</c:v>
                </c:pt>
              </c:numCache>
            </c:numRef>
          </c:yVal>
        </c:ser>
        <c:ser>
          <c:idx val="4"/>
          <c:order val="4"/>
          <c:tx>
            <c:v>10%</c:v>
          </c:tx>
          <c:spPr>
            <a:ln w="28575">
              <a:noFill/>
            </a:ln>
          </c:spPr>
          <c:trendline>
            <c:spPr>
              <a:ln w="19050" cap="flat" cmpd="sng" algn="ctr">
                <a:solidFill>
                  <a:schemeClr val="accent5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trendlineType val="poly"/>
            <c:order val="2"/>
          </c:trendline>
          <c:xVal>
            <c:numRef>
              <c:f>'10%'!$D$23:$H$23</c:f>
              <c:numCache>
                <c:formatCode>0.000</c:formatCode>
                <c:ptCount val="5"/>
                <c:pt idx="0">
                  <c:v>17.210112315579316</c:v>
                </c:pt>
                <c:pt idx="1">
                  <c:v>19.468781095949815</c:v>
                </c:pt>
                <c:pt idx="2">
                  <c:v>22.474710152067527</c:v>
                </c:pt>
                <c:pt idx="3">
                  <c:v>23.228996686940587</c:v>
                </c:pt>
                <c:pt idx="4">
                  <c:v>25.452780147865422</c:v>
                </c:pt>
              </c:numCache>
            </c:numRef>
          </c:xVal>
          <c:yVal>
            <c:numRef>
              <c:f>'10%'!$D$8:$H$8</c:f>
              <c:numCache>
                <c:formatCode>0.000</c:formatCode>
                <c:ptCount val="5"/>
                <c:pt idx="0">
                  <c:v>1.5108176990682731</c:v>
                </c:pt>
                <c:pt idx="1">
                  <c:v>1.51583889492153</c:v>
                </c:pt>
                <c:pt idx="2">
                  <c:v>1.52014902365747</c:v>
                </c:pt>
                <c:pt idx="3">
                  <c:v>1.5170460375891186</c:v>
                </c:pt>
                <c:pt idx="4">
                  <c:v>1.4827090917405839</c:v>
                </c:pt>
              </c:numCache>
            </c:numRef>
          </c:yVal>
        </c:ser>
        <c:ser>
          <c:idx val="5"/>
          <c:order val="5"/>
          <c:tx>
            <c:v>12%</c:v>
          </c:tx>
          <c:spPr>
            <a:ln w="28575">
              <a:noFill/>
            </a:ln>
          </c:spPr>
          <c:trendline>
            <c:spPr>
              <a:ln w="19050" cap="flat" cmpd="sng" algn="ctr">
                <a:solidFill>
                  <a:schemeClr val="accent6"/>
                </a:solidFill>
                <a:prstDash val="solid"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</c:spPr>
            <c:trendlineType val="poly"/>
            <c:order val="2"/>
          </c:trendline>
          <c:xVal>
            <c:numRef>
              <c:f>'12%'!$D$21:$H$21</c:f>
              <c:numCache>
                <c:formatCode>0.000</c:formatCode>
                <c:ptCount val="5"/>
                <c:pt idx="0">
                  <c:v>16.062412841888719</c:v>
                </c:pt>
                <c:pt idx="1">
                  <c:v>18.001625830380096</c:v>
                </c:pt>
                <c:pt idx="2">
                  <c:v>20.219966159052593</c:v>
                </c:pt>
                <c:pt idx="3">
                  <c:v>22.323507737656605</c:v>
                </c:pt>
                <c:pt idx="4">
                  <c:v>25.576680076331819</c:v>
                </c:pt>
              </c:numCache>
            </c:numRef>
          </c:xVal>
          <c:yVal>
            <c:numRef>
              <c:f>'12%'!$D$8:$H$8</c:f>
              <c:numCache>
                <c:formatCode>0.000</c:formatCode>
                <c:ptCount val="5"/>
                <c:pt idx="0">
                  <c:v>1.5231054130181318</c:v>
                </c:pt>
                <c:pt idx="1">
                  <c:v>1.5326169313291631</c:v>
                </c:pt>
                <c:pt idx="2">
                  <c:v>1.556870904169126</c:v>
                </c:pt>
                <c:pt idx="3">
                  <c:v>1.5284493861136099</c:v>
                </c:pt>
                <c:pt idx="4">
                  <c:v>1.4990813175788518</c:v>
                </c:pt>
              </c:numCache>
            </c:numRef>
          </c:yVal>
        </c:ser>
        <c:ser>
          <c:idx val="7"/>
          <c:order val="6"/>
          <c:tx>
            <c:v>0%</c:v>
          </c:tx>
          <c:spPr>
            <a:ln w="28575">
              <a:solidFill>
                <a:schemeClr val="bg1"/>
              </a:solidFill>
            </a:ln>
          </c:spPr>
          <c:xVal>
            <c:numRef>
              <c:f>Feuil5!$D$21:$H$21</c:f>
              <c:numCache>
                <c:formatCode>0.00</c:formatCode>
                <c:ptCount val="5"/>
                <c:pt idx="0">
                  <c:v>13.906433607520572</c:v>
                </c:pt>
                <c:pt idx="1">
                  <c:v>16.112095019924151</c:v>
                </c:pt>
                <c:pt idx="2">
                  <c:v>17.937630637859471</c:v>
                </c:pt>
                <c:pt idx="3">
                  <c:v>20.763358778625889</c:v>
                </c:pt>
                <c:pt idx="4">
                  <c:v>22.965692755155843</c:v>
                </c:pt>
              </c:numCache>
            </c:numRef>
          </c:xVal>
          <c:yVal>
            <c:numRef>
              <c:f>Feuil5!$D$8:$H$8</c:f>
              <c:numCache>
                <c:formatCode>0.00</c:formatCode>
                <c:ptCount val="5"/>
                <c:pt idx="0">
                  <c:v>1.4549266586419096</c:v>
                </c:pt>
                <c:pt idx="1">
                  <c:v>1.5709045553678718</c:v>
                </c:pt>
                <c:pt idx="2">
                  <c:v>1.5995997902820995</c:v>
                </c:pt>
                <c:pt idx="3">
                  <c:v>1.5890670317045961</c:v>
                </c:pt>
                <c:pt idx="4">
                  <c:v>1.5624193548748331</c:v>
                </c:pt>
              </c:numCache>
            </c:numRef>
          </c:yVal>
        </c:ser>
        <c:ser>
          <c:idx val="8"/>
          <c:order val="7"/>
          <c:tx>
            <c:v>0%</c:v>
          </c:tx>
          <c:spPr>
            <a:ln w="28575">
              <a:noFill/>
            </a:ln>
          </c:spPr>
          <c:dPt>
            <c:idx val="0"/>
            <c:spPr>
              <a:ln w="28575">
                <a:solidFill>
                  <a:schemeClr val="bg1"/>
                </a:solidFill>
              </a:ln>
            </c:spPr>
          </c:dPt>
          <c:dPt>
            <c:idx val="2"/>
            <c:spPr>
              <a:ln w="28575">
                <a:solidFill>
                  <a:schemeClr val="bg1"/>
                </a:solidFill>
              </a:ln>
            </c:spPr>
          </c:dPt>
          <c:trendline>
            <c:name>(0%)</c:name>
            <c:spPr>
              <a:ln w="19050" cmpd="sng">
                <a:solidFill>
                  <a:schemeClr val="tx1"/>
                </a:solidFill>
              </a:ln>
            </c:spPr>
            <c:trendlineType val="poly"/>
            <c:order val="2"/>
          </c:trendline>
          <c:xVal>
            <c:numRef>
              <c:f>Feuil6!$D$21:$H$21</c:f>
              <c:numCache>
                <c:formatCode>0.00</c:formatCode>
                <c:ptCount val="5"/>
                <c:pt idx="0">
                  <c:v>14.319852358495552</c:v>
                </c:pt>
                <c:pt idx="1">
                  <c:v>16.326488458956653</c:v>
                </c:pt>
                <c:pt idx="2">
                  <c:v>18.116959064327531</c:v>
                </c:pt>
                <c:pt idx="3">
                  <c:v>20.154738878143089</c:v>
                </c:pt>
                <c:pt idx="4">
                  <c:v>22.984094875456087</c:v>
                </c:pt>
              </c:numCache>
            </c:numRef>
          </c:xVal>
          <c:yVal>
            <c:numRef>
              <c:f>Feuil6!$D$8:$H$8</c:f>
              <c:numCache>
                <c:formatCode>0.00</c:formatCode>
                <c:ptCount val="5"/>
                <c:pt idx="0">
                  <c:v>1.4861551605066989</c:v>
                </c:pt>
                <c:pt idx="1">
                  <c:v>1.5384449063379659</c:v>
                </c:pt>
                <c:pt idx="2">
                  <c:v>1.6017543504319438</c:v>
                </c:pt>
                <c:pt idx="3">
                  <c:v>1.5720273029256819</c:v>
                </c:pt>
                <c:pt idx="4">
                  <c:v>1.5528642416747738</c:v>
                </c:pt>
              </c:numCache>
            </c:numRef>
          </c:yVal>
        </c:ser>
        <c:axId val="36566144"/>
        <c:axId val="36568064"/>
      </c:scatterChart>
      <c:valAx>
        <c:axId val="36566144"/>
        <c:scaling>
          <c:orientation val="minMax"/>
          <c:max val="26"/>
          <c:min val="12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Teneur en</a:t>
                </a:r>
                <a:r>
                  <a:rPr lang="en-US" baseline="0"/>
                  <a:t> eau </a:t>
                </a:r>
                <a:r>
                  <a:rPr lang="en-US"/>
                  <a:t> (%)</a:t>
                </a:r>
              </a:p>
            </c:rich>
          </c:tx>
          <c:layout>
            <c:manualLayout>
              <c:xMode val="edge"/>
              <c:yMode val="edge"/>
              <c:x val="0.4301674438936185"/>
              <c:y val="0.92167533303620064"/>
            </c:manualLayout>
          </c:layout>
        </c:title>
        <c:numFmt formatCode="General" sourceLinked="1"/>
        <c:tickLblPos val="nextTo"/>
        <c:crossAx val="36568064"/>
        <c:crosses val="autoZero"/>
        <c:crossBetween val="midCat"/>
        <c:majorUnit val="2"/>
      </c:valAx>
      <c:valAx>
        <c:axId val="36568064"/>
        <c:scaling>
          <c:orientation val="minMax"/>
          <c:max val="1.6"/>
          <c:min val="1.4"/>
        </c:scaling>
        <c:axPos val="l"/>
        <c:majorGridlines/>
        <c:minorGridlines/>
        <c:title>
          <c:tx>
            <c:rich>
              <a:bodyPr rot="-5400000" vert="horz"/>
              <a:lstStyle/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800"/>
                  <a:t>Masse volumique séche </a:t>
                </a:r>
                <a:r>
                  <a:rPr lang="el-GR" sz="800" b="1" i="0" baseline="0">
                    <a:effectLst/>
                  </a:rPr>
                  <a:t>γ</a:t>
                </a:r>
                <a:r>
                  <a:rPr lang="en-US" sz="800" b="1" i="0" baseline="-25000">
                    <a:effectLst/>
                  </a:rPr>
                  <a:t>d</a:t>
                </a:r>
                <a:r>
                  <a:rPr lang="en-US" sz="800" b="1" i="0" baseline="0">
                    <a:effectLst/>
                  </a:rPr>
                  <a:t> (g/cm3)</a:t>
                </a:r>
                <a:endParaRPr lang="fr-FR" sz="800">
                  <a:effectLst/>
                </a:endParaRPr>
              </a:p>
              <a:p>
                <a:pPr marL="0" marR="0" indent="0" algn="ctr" defTabSz="914400" rtl="0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10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 </a:t>
                </a:r>
              </a:p>
            </c:rich>
          </c:tx>
          <c:layout>
            <c:manualLayout>
              <c:xMode val="edge"/>
              <c:yMode val="edge"/>
              <c:x val="1.5351658662925932E-2"/>
              <c:y val="0.33794099220263601"/>
            </c:manualLayout>
          </c:layout>
        </c:title>
        <c:numFmt formatCode="General" sourceLinked="1"/>
        <c:tickLblPos val="nextTo"/>
        <c:crossAx val="36566144"/>
        <c:crosses val="autoZero"/>
        <c:crossBetween val="midCat"/>
      </c:valAx>
    </c:plotArea>
    <c:legend>
      <c:legendPos val="r"/>
      <c:legendEntry>
        <c:idx val="0"/>
        <c:txPr>
          <a:bodyPr/>
          <a:lstStyle/>
          <a:p>
            <a:pPr>
              <a:defRPr sz="800"/>
            </a:pPr>
            <a:endParaRPr lang="fr-FR"/>
          </a:p>
        </c:txPr>
      </c:legendEntry>
      <c:legendEntry>
        <c:idx val="1"/>
        <c:txPr>
          <a:bodyPr/>
          <a:lstStyle/>
          <a:p>
            <a:pPr>
              <a:defRPr sz="800"/>
            </a:pPr>
            <a:endParaRPr lang="fr-FR"/>
          </a:p>
        </c:txPr>
      </c:legendEntry>
      <c:legendEntry>
        <c:idx val="2"/>
        <c:txPr>
          <a:bodyPr/>
          <a:lstStyle/>
          <a:p>
            <a:pPr>
              <a:defRPr sz="800"/>
            </a:pPr>
            <a:endParaRPr lang="fr-FR"/>
          </a:p>
        </c:txPr>
      </c:legendEntry>
      <c:legendEntry>
        <c:idx val="7"/>
        <c:delete val="1"/>
      </c:legendEntry>
      <c:legendEntry>
        <c:idx val="3"/>
        <c:txPr>
          <a:bodyPr/>
          <a:lstStyle/>
          <a:p>
            <a:pPr>
              <a:defRPr sz="800"/>
            </a:pPr>
            <a:endParaRPr lang="fr-FR"/>
          </a:p>
        </c:txPr>
      </c:legendEntry>
      <c:legendEntry>
        <c:idx val="4"/>
        <c:txPr>
          <a:bodyPr/>
          <a:lstStyle/>
          <a:p>
            <a:pPr>
              <a:defRPr sz="800"/>
            </a:pPr>
            <a:endParaRPr lang="fr-FR"/>
          </a:p>
        </c:txPr>
      </c:legendEntry>
      <c:legendEntry>
        <c:idx val="5"/>
        <c:txPr>
          <a:bodyPr/>
          <a:lstStyle/>
          <a:p>
            <a:pPr>
              <a:defRPr sz="800"/>
            </a:pPr>
            <a:endParaRPr lang="fr-FR"/>
          </a:p>
        </c:txPr>
      </c:legendEntry>
      <c:legendEntry>
        <c:idx val="6"/>
        <c:delete val="1"/>
      </c:legendEntry>
      <c:legendEntry>
        <c:idx val="14"/>
        <c:txPr>
          <a:bodyPr/>
          <a:lstStyle/>
          <a:p>
            <a:pPr>
              <a:defRPr sz="800"/>
            </a:pPr>
            <a:endParaRPr lang="fr-FR"/>
          </a:p>
        </c:txPr>
      </c:legendEntry>
      <c:legendEntry>
        <c:idx val="9"/>
        <c:delete val="1"/>
      </c:legendEntry>
      <c:legendEntry>
        <c:idx val="10"/>
        <c:delete val="1"/>
      </c:legendEntry>
      <c:legendEntry>
        <c:idx val="11"/>
        <c:delete val="1"/>
      </c:legendEntry>
      <c:legendEntry>
        <c:idx val="12"/>
        <c:delete val="1"/>
      </c:legendEntry>
      <c:legendEntry>
        <c:idx val="13"/>
        <c:delete val="1"/>
      </c:legendEntry>
      <c:legendEntry>
        <c:idx val="8"/>
        <c:delete val="1"/>
      </c:legendEntry>
      <c:layout>
        <c:manualLayout>
          <c:xMode val="edge"/>
          <c:yMode val="edge"/>
          <c:x val="0.90505735394186759"/>
          <c:y val="3.9883497189282781E-2"/>
          <c:w val="9.2705756868271441E-2"/>
          <c:h val="0.89481390191050658"/>
        </c:manualLayout>
      </c:layout>
    </c:legend>
    <c:plotVisOnly val="1"/>
    <c:dispBlanksAs val="gap"/>
  </c:chart>
  <c:spPr>
    <a:noFill/>
  </c:spPr>
  <c:externalData r:id="rId1"/>
</c:chartSpace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196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dimetri</dc:creator>
  <cp:keywords/>
  <dc:description/>
  <cp:lastModifiedBy>dimetri</cp:lastModifiedBy>
  <cp:revision>2</cp:revision>
  <dcterms:created xsi:type="dcterms:W3CDTF">2012-06-12T13:50:00Z</dcterms:created>
  <dcterms:modified xsi:type="dcterms:W3CDTF">2012-06-12T13:56:00Z</dcterms:modified>
</cp:coreProperties>
</file>